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883" w:rsidRDefault="00737883" w:rsidP="00737883">
      <w:pPr>
        <w:pStyle w:val="ConsPlusTitlePage"/>
        <w:jc w:val="right"/>
      </w:pPr>
      <w:r>
        <w:t>Приложение №1.1</w:t>
      </w:r>
    </w:p>
    <w:p w:rsidR="00760C4D" w:rsidRDefault="00760C4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60C4D" w:rsidRDefault="00760C4D">
      <w:pPr>
        <w:pStyle w:val="ConsPlusNormal"/>
        <w:outlineLvl w:val="0"/>
      </w:pPr>
    </w:p>
    <w:p w:rsidR="00760C4D" w:rsidRDefault="00760C4D">
      <w:pPr>
        <w:pStyle w:val="ConsPlusNormal"/>
        <w:outlineLvl w:val="0"/>
      </w:pPr>
      <w:r>
        <w:t>Зарегистрировано в Минюсте России 16 августа 2024 г. N 79189</w:t>
      </w:r>
    </w:p>
    <w:p w:rsidR="00760C4D" w:rsidRDefault="00760C4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0C4D" w:rsidRDefault="00760C4D">
      <w:pPr>
        <w:pStyle w:val="ConsPlusNormal"/>
      </w:pPr>
    </w:p>
    <w:p w:rsidR="00760C4D" w:rsidRDefault="00760C4D">
      <w:pPr>
        <w:pStyle w:val="ConsPlusTitle"/>
        <w:jc w:val="center"/>
      </w:pPr>
      <w:r>
        <w:t>МИНИСТЕРСТВО ЗДРАВООХРАНЕНИЯ РОССИЙСКОЙ ФЕДЕРАЦИИ</w:t>
      </w:r>
    </w:p>
    <w:p w:rsidR="00760C4D" w:rsidRDefault="00760C4D">
      <w:pPr>
        <w:pStyle w:val="ConsPlusTitle"/>
        <w:jc w:val="center"/>
      </w:pPr>
    </w:p>
    <w:p w:rsidR="00760C4D" w:rsidRDefault="00760C4D">
      <w:pPr>
        <w:pStyle w:val="ConsPlusTitle"/>
        <w:jc w:val="center"/>
      </w:pPr>
      <w:bookmarkStart w:id="0" w:name="_GoBack"/>
      <w:bookmarkEnd w:id="0"/>
      <w:r>
        <w:t>ПРИКАЗ</w:t>
      </w:r>
    </w:p>
    <w:p w:rsidR="00760C4D" w:rsidRDefault="00760C4D">
      <w:pPr>
        <w:pStyle w:val="ConsPlusTitle"/>
        <w:jc w:val="center"/>
      </w:pPr>
      <w:r>
        <w:t>от 19 июля 2024 г. N 378н</w:t>
      </w:r>
    </w:p>
    <w:p w:rsidR="00760C4D" w:rsidRDefault="00760C4D">
      <w:pPr>
        <w:pStyle w:val="ConsPlusTitle"/>
        <w:jc w:val="center"/>
      </w:pPr>
    </w:p>
    <w:p w:rsidR="00760C4D" w:rsidRDefault="00760C4D">
      <w:pPr>
        <w:pStyle w:val="ConsPlusTitle"/>
        <w:jc w:val="center"/>
      </w:pPr>
      <w:r>
        <w:t>О ВНЕСЕНИИ ИЗМЕНЕНИЙ</w:t>
      </w:r>
    </w:p>
    <w:p w:rsidR="00760C4D" w:rsidRDefault="00760C4D">
      <w:pPr>
        <w:pStyle w:val="ConsPlusTitle"/>
        <w:jc w:val="center"/>
      </w:pPr>
      <w:r>
        <w:t>В ПОРЯДОК ПРОВЕДЕНИЯ ПРОФИЛАКТИЧЕСКОГО МЕДИЦИНСКОГО ОСМОТРА</w:t>
      </w:r>
    </w:p>
    <w:p w:rsidR="00760C4D" w:rsidRDefault="00760C4D">
      <w:pPr>
        <w:pStyle w:val="ConsPlusTitle"/>
        <w:jc w:val="center"/>
      </w:pPr>
      <w:r>
        <w:t>И ДИСПАНСЕРИЗАЦИИ ОПРЕДЕЛЕННЫХ ГРУПП ВЗРОСЛОГО НАСЕЛЕНИЯ,</w:t>
      </w:r>
    </w:p>
    <w:p w:rsidR="00760C4D" w:rsidRDefault="00760C4D">
      <w:pPr>
        <w:pStyle w:val="ConsPlusTitle"/>
        <w:jc w:val="center"/>
      </w:pPr>
      <w:r>
        <w:t>УТВЕРЖДЕННЫЙ ПРИКАЗОМ МИНИСТЕРСТВА ЗДРАВООХРАНЕНИЯ</w:t>
      </w:r>
    </w:p>
    <w:p w:rsidR="00760C4D" w:rsidRDefault="00760C4D">
      <w:pPr>
        <w:pStyle w:val="ConsPlusTitle"/>
        <w:jc w:val="center"/>
      </w:pPr>
      <w:r>
        <w:t>РОССИЙСКОЙ ФЕДЕРАЦИИ ОТ 27 АПРЕЛЯ 2021 Г. N 404Н</w:t>
      </w: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7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и </w:t>
      </w:r>
      <w:hyperlink r:id="rId6">
        <w:r>
          <w:rPr>
            <w:color w:val="0000FF"/>
          </w:rPr>
          <w:t>пунктом 1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7">
        <w:r>
          <w:rPr>
            <w:color w:val="0000FF"/>
          </w:rPr>
          <w:t>порядок</w:t>
        </w:r>
      </w:hyperlink>
      <w:r>
        <w:t xml:space="preserve">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27 апреля 2021 г. N 404н (зарегистрирован Министерством юстиции Российской Федерации 30 июня 2021 г., регистрационный N 64042), с изменениями, внесенными приказами Министерства здравоохранения Российской Федерации от 1 февраля 2022 г. N 44н (зарегистрирован Министерством юстиции Российской Федерации 9 февраля 2022 г., регистрационный N 67206), от 7 июля 2023 г. N 352н (зарегистрирован Министерством юстиции Российской Федерации 10 августа 2023 г., регистрационный N 74718) и от 28 сентября 2023 г. N 515н (зарегистрирован Министерством юстиции Российской Федерации 17 октября 2023 г., регистрационный N 75616).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>2. Настоящий приказ действует до 1 июля 2027 г.</w:t>
      </w: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right"/>
      </w:pPr>
      <w:r>
        <w:t>Министр</w:t>
      </w:r>
    </w:p>
    <w:p w:rsidR="00760C4D" w:rsidRDefault="00760C4D">
      <w:pPr>
        <w:pStyle w:val="ConsPlusNormal"/>
        <w:jc w:val="right"/>
      </w:pPr>
      <w:r>
        <w:t>М.А.МУРАШКО</w:t>
      </w: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right"/>
        <w:outlineLvl w:val="0"/>
      </w:pPr>
      <w:r>
        <w:t>Утверждены</w:t>
      </w:r>
    </w:p>
    <w:p w:rsidR="00760C4D" w:rsidRDefault="00760C4D">
      <w:pPr>
        <w:pStyle w:val="ConsPlusNormal"/>
        <w:jc w:val="right"/>
      </w:pPr>
      <w:r>
        <w:t>приказом Министерства здравоохранения</w:t>
      </w:r>
    </w:p>
    <w:p w:rsidR="00760C4D" w:rsidRDefault="00760C4D">
      <w:pPr>
        <w:pStyle w:val="ConsPlusNormal"/>
        <w:jc w:val="right"/>
      </w:pPr>
      <w:r>
        <w:t>Российской Федерации</w:t>
      </w:r>
    </w:p>
    <w:p w:rsidR="00760C4D" w:rsidRDefault="00760C4D">
      <w:pPr>
        <w:pStyle w:val="ConsPlusNormal"/>
        <w:jc w:val="right"/>
      </w:pPr>
      <w:r>
        <w:t>от 19 июля 2024 г. N 378н</w:t>
      </w: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Title"/>
        <w:jc w:val="center"/>
      </w:pPr>
      <w:bookmarkStart w:id="1" w:name="P31"/>
      <w:bookmarkEnd w:id="1"/>
      <w:r>
        <w:t>ИЗМЕНЕНИЯ,</w:t>
      </w:r>
    </w:p>
    <w:p w:rsidR="00760C4D" w:rsidRDefault="00760C4D">
      <w:pPr>
        <w:pStyle w:val="ConsPlusTitle"/>
        <w:jc w:val="center"/>
      </w:pPr>
      <w:r>
        <w:t>КОТОРЫЕ ВНОСЯТСЯ В ПОРЯДОК ПРОВЕДЕНИЯ ПРОФИЛАКТИЧЕСКОГО</w:t>
      </w:r>
    </w:p>
    <w:p w:rsidR="00760C4D" w:rsidRDefault="00760C4D">
      <w:pPr>
        <w:pStyle w:val="ConsPlusTitle"/>
        <w:jc w:val="center"/>
      </w:pPr>
      <w:r>
        <w:t>МЕДИЦИНСКОГО ОСМОТРА И ДИСПАНСЕРИЗАЦИИ ОПРЕДЕЛЕННЫХ ГРУПП</w:t>
      </w:r>
    </w:p>
    <w:p w:rsidR="00760C4D" w:rsidRDefault="00760C4D">
      <w:pPr>
        <w:pStyle w:val="ConsPlusTitle"/>
        <w:jc w:val="center"/>
      </w:pPr>
      <w:r>
        <w:t>ВЗРОСЛОГО НАСЕЛЕНИЯ, УТВЕРЖДЕННЫЙ ПРИКАЗОМ МИНИСТЕРСТВА</w:t>
      </w:r>
    </w:p>
    <w:p w:rsidR="00760C4D" w:rsidRDefault="00760C4D">
      <w:pPr>
        <w:pStyle w:val="ConsPlusTitle"/>
        <w:jc w:val="center"/>
      </w:pPr>
      <w:r>
        <w:t>ЗДРАВООХРАНЕНИЯ РОССИЙСКОЙ ФЕДЕРАЦИИ</w:t>
      </w:r>
    </w:p>
    <w:p w:rsidR="00760C4D" w:rsidRDefault="00760C4D">
      <w:pPr>
        <w:pStyle w:val="ConsPlusTitle"/>
        <w:jc w:val="center"/>
      </w:pPr>
      <w:r>
        <w:t>ОТ 27 АПРЕЛЯ 2021 Г. N 404Н</w:t>
      </w: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подпункте 1 пункта 3</w:t>
        </w:r>
      </w:hyperlink>
      <w:r>
        <w:t xml:space="preserve"> после слов "(далее - факторы риска)," дополнить словами "хронических инфекционных заболеваний, оценку репродуктивного здоровья и репродуктивных установок,".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пункте 7</w:t>
        </w:r>
      </w:hyperlink>
      <w:r>
        <w:t>: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а) </w:t>
      </w:r>
      <w:hyperlink r:id="rId10">
        <w:r>
          <w:rPr>
            <w:color w:val="0000FF"/>
          </w:rPr>
          <w:t>абзац второй</w:t>
        </w:r>
      </w:hyperlink>
      <w:r>
        <w:t xml:space="preserve"> изложить в следующей редакции: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>"В дополнение к профилактическим медицинским осмотрам и диспансеризации отдельные категории граждан проходят исследования и иные медицинские вмешательства в соответствии с перечнями исследований и иных медицинских вмешательств, установленными программой государственных гарантий бесплатного оказания гражданам медицинской помощи на соответствующий год и плановый период.";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б) </w:t>
      </w:r>
      <w:hyperlink r:id="rId11">
        <w:r>
          <w:rPr>
            <w:color w:val="0000FF"/>
          </w:rPr>
          <w:t>абзац третий</w:t>
        </w:r>
      </w:hyperlink>
      <w:r>
        <w:t xml:space="preserve"> признать утратившим силу.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3. </w:t>
      </w:r>
      <w:hyperlink r:id="rId12">
        <w:r>
          <w:rPr>
            <w:color w:val="0000FF"/>
          </w:rPr>
          <w:t>Дополнить</w:t>
        </w:r>
      </w:hyperlink>
      <w:r>
        <w:t xml:space="preserve"> пунктом 10(2) и сносками 8.1 и 8.2 к нему следующего содержания: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>"10(2). Ветераны боевых действий имеют право на прохождение профилактических медицинских осмотров и диспансеризации во внеочередном порядке &lt;8.1&gt; в медицинских организациях, в которых ветераны боевых действий получают первичную медико-санитарную помощь, в порядке, установленном законами и иными нормативными правовыми актами субъекта Российской Федерации &lt;8.2&gt;, в том числе по месту нахождения мобильных медицинских бригад, организованных в структуре этих медицинских организаций. Органы исполнительной власти субъектов Российской Федерации в сфере охраны здоровья вправе устанавливать перечень иных медицинских организаций, уполномоченных на проведение профилактических медицинских осмотров и диспансеризации ветеранов боевых действий на территории соответствующего субъекта Российской Федерации.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>Филиал Государственного фонда поддержки участников специальной военной операции "Защитники Отечества" формирует и направляет в органы исполнительной власти субъектов Российской Федерации в сфере охраны здоровья перечень ветеранов боевых действий, проживающих на территории соответствующего субъекта Российской Федерации, для прохождения профилактических медицинских осмотров и (или) диспансеризации, предусматривающий фамилию, имя, отчество (при наличии), возраст (дату рождения), номер полиса обязательного медицинского страхования, страховой номер индивидуального лицевого счета ветерана боевых действий.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Органы исполнительной власти субъектов Российской Федерации в сфере охраны здоровья совместно с медицинскими организациями, проводящими профилактические медицинские осмотры и диспансеризацию ветеранов боевых действий, по согласованию с филиалом Государственного фонда поддержки участников специальной военной операции "Защитники </w:t>
      </w:r>
      <w:r>
        <w:lastRenderedPageBreak/>
        <w:t>Отечества" формируют график прохождения профилактических медицинских осмотров и (или) диспансеризации, предусматривающий адрес, дату и время проведения профилактических медицинских осмотров и (или) диспансеризации, фамилию, имя, отчество (при наличии), возраст (дату рождения), номер полиса обязательного медицинского страхования, страховой номер индивидуального лицевого счета ветерана боевых действий.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Иная медицинская организация, проводящая профилактические медицинские осмотры и (или) диспансеризацию ветеранов боевых действий, обеспечивает обмен информацией с медицинскими организациями, в которых ветераны боевых действий получают первичную медико-санитарную помощь, в том числе расположенными в других субъектах Российской Федерации, предусмотренной в карте учета профилактического медицинского осмотра (диспансеризации) по учетной </w:t>
      </w:r>
      <w:hyperlink r:id="rId13">
        <w:r>
          <w:rPr>
            <w:color w:val="0000FF"/>
          </w:rPr>
          <w:t>форме</w:t>
        </w:r>
      </w:hyperlink>
      <w:r>
        <w:t xml:space="preserve"> медицинской документации N 131/у, утвержденной приказом Министерства здравоохранения Российской Федерации от 10 ноября 2020 г. N 1207н (зарегистрирован Министерством юстиции Российской Федерации 11 января 2021 г., регистрационный N 62033), действует до 1 февраля 2027 г.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При отсутствии в населенном пункте, в котором проживает ветеран боевых действий, медицинской организации, проводящей профилактические медицинские осмотры и (или) диспансеризацию, может осуществляться перевозка ветерана боевых действий в такую медицинскую организацию в рамках дополнительных мер социальной поддержки и социальной помощи, предусмотренных в субъекте Российской Федерации в соответствии с </w:t>
      </w:r>
      <w:hyperlink r:id="rId14">
        <w:r>
          <w:rPr>
            <w:color w:val="0000FF"/>
          </w:rPr>
          <w:t>частью 3 статьи 48</w:t>
        </w:r>
      </w:hyperlink>
      <w:r>
        <w:t xml:space="preserve"> Федерального закона от 21 декабря 2021 г. N 414-ФЗ "Об общих принципах организации публичной власти в субъектах Российской Федерации", в том числе с участием службы социальных координаторов филиалов Государственного фонда поддержки участников специальной военной операции "Защитники Отечества".";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"&lt;8.1&gt; </w:t>
      </w:r>
      <w:hyperlink r:id="rId15">
        <w:r>
          <w:rPr>
            <w:color w:val="0000FF"/>
          </w:rPr>
          <w:t>Раздел IV</w:t>
        </w:r>
      </w:hyperlink>
      <w:r>
        <w:t xml:space="preserve"> "Базовая программа обязательного медицинского страхования" Программы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 декабря 2023 г. N 2353.";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"&lt;8.2&gt; </w:t>
      </w:r>
      <w:hyperlink r:id="rId16">
        <w:r>
          <w:rPr>
            <w:color w:val="0000FF"/>
          </w:rPr>
          <w:t>Подпункт 8 пункта 1</w:t>
        </w:r>
      </w:hyperlink>
      <w:r>
        <w:t xml:space="preserve"> и </w:t>
      </w:r>
      <w:hyperlink r:id="rId17">
        <w:r>
          <w:rPr>
            <w:color w:val="0000FF"/>
          </w:rPr>
          <w:t>подпункт 1 пункта 2 статьи 16</w:t>
        </w:r>
      </w:hyperlink>
      <w:r>
        <w:t xml:space="preserve"> Федерального закона N 5-ФЗ.".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4. </w:t>
      </w:r>
      <w:hyperlink r:id="rId18">
        <w:r>
          <w:rPr>
            <w:color w:val="0000FF"/>
          </w:rPr>
          <w:t>Пункт 16</w:t>
        </w:r>
      </w:hyperlink>
      <w:r>
        <w:t xml:space="preserve"> дополнить подпунктом 11(1) следующего содержания: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"11(1)) проведение </w:t>
      </w:r>
      <w:proofErr w:type="spellStart"/>
      <w:r>
        <w:t>скринингового</w:t>
      </w:r>
      <w:proofErr w:type="spellEnd"/>
      <w:r>
        <w:t xml:space="preserve"> исследования на антитела к гепатиту C граждан в возрасте 25 лет и старше 1 раз в 10 лет путем определения суммарных антител классов M и G (</w:t>
      </w:r>
      <w:proofErr w:type="spellStart"/>
      <w:r>
        <w:t>anti</w:t>
      </w:r>
      <w:proofErr w:type="spellEnd"/>
      <w:r>
        <w:t xml:space="preserve">-HCV </w:t>
      </w:r>
      <w:proofErr w:type="spellStart"/>
      <w:r>
        <w:t>IgG</w:t>
      </w:r>
      <w:proofErr w:type="spellEnd"/>
      <w:r>
        <w:t xml:space="preserve"> и </w:t>
      </w:r>
      <w:proofErr w:type="spellStart"/>
      <w:r>
        <w:t>anti</w:t>
      </w:r>
      <w:proofErr w:type="spellEnd"/>
      <w:r>
        <w:t xml:space="preserve">-HCV </w:t>
      </w:r>
      <w:proofErr w:type="spellStart"/>
      <w:r>
        <w:t>IgM</w:t>
      </w:r>
      <w:proofErr w:type="spellEnd"/>
      <w:r>
        <w:t>) к вирусу гепатита C (</w:t>
      </w:r>
      <w:proofErr w:type="spellStart"/>
      <w:r>
        <w:t>Hepatitis</w:t>
      </w:r>
      <w:proofErr w:type="spellEnd"/>
      <w:r>
        <w:t xml:space="preserve"> C </w:t>
      </w:r>
      <w:proofErr w:type="spellStart"/>
      <w:r>
        <w:t>virus</w:t>
      </w:r>
      <w:proofErr w:type="spellEnd"/>
      <w:r>
        <w:t>) в крови;".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5. В </w:t>
      </w:r>
      <w:hyperlink r:id="rId19">
        <w:r>
          <w:rPr>
            <w:color w:val="0000FF"/>
          </w:rPr>
          <w:t>Приложении N 1</w:t>
        </w:r>
      </w:hyperlink>
      <w:r>
        <w:t>:</w:t>
      </w:r>
    </w:p>
    <w:p w:rsidR="00760C4D" w:rsidRDefault="00760C4D">
      <w:pPr>
        <w:pStyle w:val="ConsPlusNormal"/>
        <w:spacing w:before="220"/>
        <w:ind w:firstLine="540"/>
        <w:jc w:val="both"/>
      </w:pPr>
      <w:r>
        <w:t xml:space="preserve">а) раздел I после </w:t>
      </w:r>
      <w:hyperlink r:id="rId20">
        <w:r>
          <w:rPr>
            <w:color w:val="0000FF"/>
          </w:rPr>
          <w:t>строки</w:t>
        </w:r>
      </w:hyperlink>
      <w:r>
        <w:t xml:space="preserve"> "Общий анализ крови"</w:t>
      </w:r>
    </w:p>
    <w:p w:rsidR="00760C4D" w:rsidRDefault="00760C4D">
      <w:pPr>
        <w:pStyle w:val="ConsPlusNormal"/>
        <w:jc w:val="both"/>
      </w:pPr>
    </w:p>
    <w:p w:rsidR="00760C4D" w:rsidRDefault="00760C4D">
      <w:pPr>
        <w:pStyle w:val="ConsPlusNormal"/>
        <w:jc w:val="both"/>
      </w:pPr>
      <w:r>
        <w:t>"</w:t>
      </w:r>
    </w:p>
    <w:p w:rsidR="00760C4D" w:rsidRDefault="00760C4D">
      <w:pPr>
        <w:pStyle w:val="ConsPlusNormal"/>
        <w:sectPr w:rsidR="00760C4D" w:rsidSect="00B449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60"/>
      </w:tblGrid>
      <w:tr w:rsidR="00760C4D" w:rsidRPr="00760C4D"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Общий анализ крови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</w:tbl>
    <w:p w:rsidR="00760C4D" w:rsidRPr="00760C4D" w:rsidRDefault="00760C4D" w:rsidP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";</w:t>
      </w: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дополнить строкой следующего содержания:</w:t>
      </w: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</w:t>
      </w:r>
    </w:p>
    <w:p w:rsidR="00760C4D" w:rsidRPr="00760C4D" w:rsidRDefault="00760C4D" w:rsidP="00760C4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60"/>
      </w:tblGrid>
      <w:tr w:rsidR="00760C4D" w:rsidRPr="00760C4D"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</w:t>
            </w:r>
            <w:proofErr w:type="spellStart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скринингового</w:t>
            </w:r>
            <w:proofErr w:type="spellEnd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 исследования на антитела к гепатиту C путем определения суммарных антител классов M и G к вирусу гепатита C в крови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60C4D" w:rsidRPr="00760C4D" w:rsidRDefault="00760C4D" w:rsidP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";</w:t>
      </w: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 w:rsidP="00760C4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 xml:space="preserve">б) раздел II после </w:t>
      </w:r>
      <w:hyperlink r:id="rId21">
        <w:r w:rsidRPr="00760C4D">
          <w:rPr>
            <w:rFonts w:ascii="Times New Roman" w:hAnsi="Times New Roman" w:cs="Times New Roman"/>
            <w:color w:val="0000FF"/>
            <w:sz w:val="16"/>
            <w:szCs w:val="16"/>
          </w:rPr>
          <w:t>строки</w:t>
        </w:r>
      </w:hyperlink>
      <w:r w:rsidRPr="00760C4D">
        <w:rPr>
          <w:rFonts w:ascii="Times New Roman" w:hAnsi="Times New Roman" w:cs="Times New Roman"/>
          <w:sz w:val="16"/>
          <w:szCs w:val="16"/>
        </w:rPr>
        <w:t xml:space="preserve"> "Общий анализ крови"</w:t>
      </w: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 w:rsidP="00760C4D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</w:t>
      </w:r>
    </w:p>
    <w:p w:rsidR="00760C4D" w:rsidRPr="00760C4D" w:rsidRDefault="00760C4D" w:rsidP="00760C4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60"/>
      </w:tblGrid>
      <w:tr w:rsidR="00760C4D" w:rsidRPr="00760C4D"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Общий анализ крови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</w:tbl>
    <w:p w:rsidR="00760C4D" w:rsidRPr="00760C4D" w:rsidRDefault="00760C4D" w:rsidP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";</w:t>
      </w: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дополнить строкой следующего содержания:</w:t>
      </w: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 w:rsidP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</w:t>
      </w:r>
    </w:p>
    <w:p w:rsidR="00760C4D" w:rsidRPr="00760C4D" w:rsidRDefault="00760C4D" w:rsidP="00760C4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60"/>
      </w:tblGrid>
      <w:tr w:rsidR="00760C4D" w:rsidRPr="00760C4D"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</w:t>
            </w:r>
            <w:proofErr w:type="spellStart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скринингового</w:t>
            </w:r>
            <w:proofErr w:type="spellEnd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 исследования на антитела к гепатиту C путем определения суммарных антител классов M и G к вирусу гепатита C в крови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 w:rsidP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60C4D" w:rsidRPr="00760C4D" w:rsidRDefault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";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 xml:space="preserve">в) раздел III после </w:t>
      </w:r>
      <w:hyperlink r:id="rId22">
        <w:r w:rsidRPr="00760C4D">
          <w:rPr>
            <w:rFonts w:ascii="Times New Roman" w:hAnsi="Times New Roman" w:cs="Times New Roman"/>
            <w:color w:val="0000FF"/>
            <w:sz w:val="16"/>
            <w:szCs w:val="16"/>
          </w:rPr>
          <w:t>строки</w:t>
        </w:r>
      </w:hyperlink>
      <w:r w:rsidRPr="00760C4D">
        <w:rPr>
          <w:rFonts w:ascii="Times New Roman" w:hAnsi="Times New Roman" w:cs="Times New Roman"/>
          <w:sz w:val="16"/>
          <w:szCs w:val="16"/>
        </w:rPr>
        <w:t xml:space="preserve"> "Общий анализ крови"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</w:t>
      </w:r>
    </w:p>
    <w:p w:rsidR="00760C4D" w:rsidRPr="00760C4D" w:rsidRDefault="00760C4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97"/>
        <w:gridCol w:w="360"/>
        <w:gridCol w:w="355"/>
        <w:gridCol w:w="397"/>
        <w:gridCol w:w="355"/>
        <w:gridCol w:w="355"/>
        <w:gridCol w:w="360"/>
        <w:gridCol w:w="360"/>
        <w:gridCol w:w="360"/>
        <w:gridCol w:w="360"/>
        <w:gridCol w:w="355"/>
        <w:gridCol w:w="355"/>
        <w:gridCol w:w="360"/>
        <w:gridCol w:w="355"/>
        <w:gridCol w:w="365"/>
        <w:gridCol w:w="397"/>
        <w:gridCol w:w="355"/>
        <w:gridCol w:w="397"/>
        <w:gridCol w:w="360"/>
        <w:gridCol w:w="360"/>
        <w:gridCol w:w="360"/>
        <w:gridCol w:w="360"/>
        <w:gridCol w:w="360"/>
        <w:gridCol w:w="360"/>
        <w:gridCol w:w="355"/>
        <w:gridCol w:w="360"/>
        <w:gridCol w:w="355"/>
        <w:gridCol w:w="365"/>
        <w:gridCol w:w="360"/>
        <w:gridCol w:w="355"/>
        <w:gridCol w:w="360"/>
        <w:gridCol w:w="365"/>
        <w:gridCol w:w="360"/>
        <w:gridCol w:w="365"/>
        <w:gridCol w:w="397"/>
      </w:tblGrid>
      <w:tr w:rsidR="00760C4D" w:rsidRPr="00760C4D"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Общий анализ крови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</w:tbl>
    <w:p w:rsidR="00760C4D" w:rsidRPr="00760C4D" w:rsidRDefault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";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дополнить строкой следующего содержания: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</w:t>
      </w:r>
    </w:p>
    <w:p w:rsidR="00760C4D" w:rsidRPr="00760C4D" w:rsidRDefault="00760C4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97"/>
        <w:gridCol w:w="360"/>
        <w:gridCol w:w="355"/>
        <w:gridCol w:w="397"/>
        <w:gridCol w:w="355"/>
        <w:gridCol w:w="355"/>
        <w:gridCol w:w="360"/>
        <w:gridCol w:w="360"/>
        <w:gridCol w:w="360"/>
        <w:gridCol w:w="360"/>
        <w:gridCol w:w="355"/>
        <w:gridCol w:w="355"/>
        <w:gridCol w:w="360"/>
        <w:gridCol w:w="355"/>
        <w:gridCol w:w="365"/>
        <w:gridCol w:w="397"/>
        <w:gridCol w:w="355"/>
        <w:gridCol w:w="397"/>
        <w:gridCol w:w="360"/>
        <w:gridCol w:w="360"/>
        <w:gridCol w:w="360"/>
        <w:gridCol w:w="360"/>
        <w:gridCol w:w="360"/>
        <w:gridCol w:w="360"/>
        <w:gridCol w:w="355"/>
        <w:gridCol w:w="360"/>
        <w:gridCol w:w="355"/>
        <w:gridCol w:w="365"/>
        <w:gridCol w:w="360"/>
        <w:gridCol w:w="355"/>
        <w:gridCol w:w="360"/>
        <w:gridCol w:w="365"/>
        <w:gridCol w:w="360"/>
        <w:gridCol w:w="365"/>
        <w:gridCol w:w="397"/>
      </w:tblGrid>
      <w:tr w:rsidR="00760C4D" w:rsidRPr="00760C4D"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</w:t>
            </w:r>
            <w:proofErr w:type="spellStart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скринингового</w:t>
            </w:r>
            <w:proofErr w:type="spellEnd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 исследования на антитела к гепатиту C путем определения суммарных антител классов M и G к вирусу гепатита C в крови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60C4D" w:rsidRPr="00760C4D" w:rsidRDefault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";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 xml:space="preserve">г) раздел IV после </w:t>
      </w:r>
      <w:hyperlink r:id="rId23">
        <w:r w:rsidRPr="00760C4D">
          <w:rPr>
            <w:rFonts w:ascii="Times New Roman" w:hAnsi="Times New Roman" w:cs="Times New Roman"/>
            <w:color w:val="0000FF"/>
            <w:sz w:val="16"/>
            <w:szCs w:val="16"/>
          </w:rPr>
          <w:t>строки</w:t>
        </w:r>
      </w:hyperlink>
      <w:r w:rsidRPr="00760C4D">
        <w:rPr>
          <w:rFonts w:ascii="Times New Roman" w:hAnsi="Times New Roman" w:cs="Times New Roman"/>
          <w:sz w:val="16"/>
          <w:szCs w:val="16"/>
        </w:rPr>
        <w:t xml:space="preserve"> "Общий анализ крови"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</w:t>
      </w:r>
    </w:p>
    <w:p w:rsidR="00760C4D" w:rsidRPr="00760C4D" w:rsidRDefault="00760C4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97"/>
        <w:gridCol w:w="360"/>
        <w:gridCol w:w="355"/>
        <w:gridCol w:w="397"/>
        <w:gridCol w:w="355"/>
        <w:gridCol w:w="355"/>
        <w:gridCol w:w="360"/>
        <w:gridCol w:w="360"/>
        <w:gridCol w:w="360"/>
        <w:gridCol w:w="360"/>
        <w:gridCol w:w="355"/>
        <w:gridCol w:w="355"/>
        <w:gridCol w:w="360"/>
        <w:gridCol w:w="355"/>
        <w:gridCol w:w="365"/>
        <w:gridCol w:w="397"/>
        <w:gridCol w:w="355"/>
        <w:gridCol w:w="397"/>
        <w:gridCol w:w="360"/>
        <w:gridCol w:w="360"/>
        <w:gridCol w:w="360"/>
        <w:gridCol w:w="360"/>
        <w:gridCol w:w="360"/>
        <w:gridCol w:w="360"/>
        <w:gridCol w:w="355"/>
        <w:gridCol w:w="360"/>
        <w:gridCol w:w="355"/>
        <w:gridCol w:w="365"/>
        <w:gridCol w:w="360"/>
        <w:gridCol w:w="355"/>
        <w:gridCol w:w="360"/>
        <w:gridCol w:w="365"/>
        <w:gridCol w:w="360"/>
        <w:gridCol w:w="365"/>
        <w:gridCol w:w="397"/>
      </w:tblGrid>
      <w:tr w:rsidR="00760C4D" w:rsidRPr="00760C4D"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Общий анализ крови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</w:tbl>
    <w:p w:rsidR="00760C4D" w:rsidRPr="00760C4D" w:rsidRDefault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".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дополнить строкой следующего содержания: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</w:t>
      </w:r>
    </w:p>
    <w:p w:rsidR="00760C4D" w:rsidRPr="00760C4D" w:rsidRDefault="00760C4D">
      <w:pPr>
        <w:pStyle w:val="ConsPlusNormal"/>
        <w:spacing w:after="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97"/>
        <w:gridCol w:w="360"/>
        <w:gridCol w:w="355"/>
        <w:gridCol w:w="397"/>
        <w:gridCol w:w="355"/>
        <w:gridCol w:w="355"/>
        <w:gridCol w:w="360"/>
        <w:gridCol w:w="360"/>
        <w:gridCol w:w="360"/>
        <w:gridCol w:w="360"/>
        <w:gridCol w:w="355"/>
        <w:gridCol w:w="355"/>
        <w:gridCol w:w="360"/>
        <w:gridCol w:w="355"/>
        <w:gridCol w:w="365"/>
        <w:gridCol w:w="397"/>
        <w:gridCol w:w="355"/>
        <w:gridCol w:w="397"/>
        <w:gridCol w:w="360"/>
        <w:gridCol w:w="360"/>
        <w:gridCol w:w="360"/>
        <w:gridCol w:w="360"/>
        <w:gridCol w:w="360"/>
        <w:gridCol w:w="360"/>
        <w:gridCol w:w="355"/>
        <w:gridCol w:w="360"/>
        <w:gridCol w:w="355"/>
        <w:gridCol w:w="365"/>
        <w:gridCol w:w="360"/>
        <w:gridCol w:w="355"/>
        <w:gridCol w:w="360"/>
        <w:gridCol w:w="365"/>
        <w:gridCol w:w="360"/>
        <w:gridCol w:w="365"/>
        <w:gridCol w:w="397"/>
      </w:tblGrid>
      <w:tr w:rsidR="00760C4D" w:rsidRPr="00760C4D"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</w:t>
            </w:r>
            <w:proofErr w:type="spellStart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скринингового</w:t>
            </w:r>
            <w:proofErr w:type="spellEnd"/>
            <w:r w:rsidRPr="00760C4D">
              <w:rPr>
                <w:rFonts w:ascii="Times New Roman" w:hAnsi="Times New Roman" w:cs="Times New Roman"/>
                <w:sz w:val="16"/>
                <w:szCs w:val="16"/>
              </w:rPr>
              <w:t xml:space="preserve"> исследования на антитела к гепатиту C путем определения суммарных антител классов M и G к вирусу гепатита C в крови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0C4D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0C4D" w:rsidRPr="00760C4D" w:rsidRDefault="00760C4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60C4D" w:rsidRPr="00760C4D" w:rsidRDefault="00760C4D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760C4D">
        <w:rPr>
          <w:rFonts w:ascii="Times New Roman" w:hAnsi="Times New Roman" w:cs="Times New Roman"/>
          <w:sz w:val="16"/>
          <w:szCs w:val="16"/>
        </w:rPr>
        <w:t>".</w:t>
      </w: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60C4D" w:rsidRPr="00760C4D" w:rsidRDefault="00760C4D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16"/>
          <w:szCs w:val="16"/>
        </w:rPr>
      </w:pPr>
    </w:p>
    <w:p w:rsidR="00AE4646" w:rsidRPr="00760C4D" w:rsidRDefault="00AE4646">
      <w:pPr>
        <w:rPr>
          <w:rFonts w:ascii="Times New Roman" w:hAnsi="Times New Roman" w:cs="Times New Roman"/>
          <w:sz w:val="16"/>
          <w:szCs w:val="16"/>
        </w:rPr>
      </w:pPr>
    </w:p>
    <w:sectPr w:rsidR="00AE4646" w:rsidRPr="00760C4D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C4D"/>
    <w:rsid w:val="00737883"/>
    <w:rsid w:val="00760C4D"/>
    <w:rsid w:val="00AE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47F7C-A88E-4905-A6F2-18C3C094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C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C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0C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0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0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9983&amp;dst=100026" TargetMode="External"/><Relationship Id="rId13" Type="http://schemas.openxmlformats.org/officeDocument/2006/relationships/hyperlink" Target="https://login.consultant.ru/link/?req=doc&amp;base=LAW&amp;n=373766&amp;dst=100021" TargetMode="External"/><Relationship Id="rId18" Type="http://schemas.openxmlformats.org/officeDocument/2006/relationships/hyperlink" Target="https://login.consultant.ru/link/?req=doc&amp;base=LAW&amp;n=459983&amp;dst=10013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59983&amp;dst=101301" TargetMode="External"/><Relationship Id="rId7" Type="http://schemas.openxmlformats.org/officeDocument/2006/relationships/hyperlink" Target="https://login.consultant.ru/link/?req=doc&amp;base=LAW&amp;n=459983&amp;dst=100015" TargetMode="External"/><Relationship Id="rId12" Type="http://schemas.openxmlformats.org/officeDocument/2006/relationships/hyperlink" Target="https://login.consultant.ru/link/?req=doc&amp;base=LAW&amp;n=459983&amp;dst=100015" TargetMode="External"/><Relationship Id="rId17" Type="http://schemas.openxmlformats.org/officeDocument/2006/relationships/hyperlink" Target="https://login.consultant.ru/link/?req=doc&amp;base=LAW&amp;n=482678&amp;dst=287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2678&amp;dst=286" TargetMode="External"/><Relationship Id="rId20" Type="http://schemas.openxmlformats.org/officeDocument/2006/relationships/hyperlink" Target="https://login.consultant.ru/link/?req=doc&amp;base=LAW&amp;n=459983&amp;dst=10069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0013&amp;dst=167" TargetMode="External"/><Relationship Id="rId11" Type="http://schemas.openxmlformats.org/officeDocument/2006/relationships/hyperlink" Target="https://login.consultant.ru/link/?req=doc&amp;base=LAW&amp;n=459983&amp;dst=100053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4225&amp;dst=187" TargetMode="External"/><Relationship Id="rId15" Type="http://schemas.openxmlformats.org/officeDocument/2006/relationships/hyperlink" Target="https://login.consultant.ru/link/?req=doc&amp;base=LAW&amp;n=472964&amp;dst=100138" TargetMode="External"/><Relationship Id="rId23" Type="http://schemas.openxmlformats.org/officeDocument/2006/relationships/hyperlink" Target="https://login.consultant.ru/link/?req=doc&amp;base=LAW&amp;n=459983&amp;dst=102221" TargetMode="External"/><Relationship Id="rId10" Type="http://schemas.openxmlformats.org/officeDocument/2006/relationships/hyperlink" Target="https://login.consultant.ru/link/?req=doc&amp;base=LAW&amp;n=459983&amp;dst=100052" TargetMode="External"/><Relationship Id="rId19" Type="http://schemas.openxmlformats.org/officeDocument/2006/relationships/hyperlink" Target="https://login.consultant.ru/link/?req=doc&amp;base=LAW&amp;n=459983&amp;dst=10021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9983&amp;dst=100051" TargetMode="External"/><Relationship Id="rId14" Type="http://schemas.openxmlformats.org/officeDocument/2006/relationships/hyperlink" Target="https://login.consultant.ru/link/?req=doc&amp;base=LAW&amp;n=471106&amp;dst=100708" TargetMode="External"/><Relationship Id="rId22" Type="http://schemas.openxmlformats.org/officeDocument/2006/relationships/hyperlink" Target="https://login.consultant.ru/link/?req=doc&amp;base=LAW&amp;n=459983&amp;dst=1017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2</cp:revision>
  <cp:lastPrinted>2024-09-23T07:27:00Z</cp:lastPrinted>
  <dcterms:created xsi:type="dcterms:W3CDTF">2024-09-23T07:23:00Z</dcterms:created>
  <dcterms:modified xsi:type="dcterms:W3CDTF">2024-09-25T09:02:00Z</dcterms:modified>
</cp:coreProperties>
</file>